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left"/>
      </w:pPr>
      <w:r>
        <w:rPr>
          <w:rFonts w:ascii="Arial" w:cs="Arial" w:eastAsia="Arial" w:hAnsi="Arial"/>
          <w:b/>
          <w:bCs/>
          <w:color w:val="B8860B"/>
          <w:sz w:val="20"/>
          <w:szCs w:val="20"/>
        </w:rPr>
        <w:t xml:space="preserve">SANTA ANA UNIFIED SCHOOL DISTRICT</w:t>
      </w:r>
    </w:p>
    <w:p>
      <w:pPr>
        <w:pBdr>
          <w:bottom w:val="single" w:color="1A2332" w:sz="6" w:space="8"/>
        </w:pBdr>
        <w:spacing w:after="200"/>
      </w:pPr>
      <w:r>
        <w:rPr>
          <w:rFonts w:ascii="Arial" w:cs="Arial" w:eastAsia="Arial" w:hAnsi="Arial"/>
          <w:b/>
          <w:bCs/>
          <w:color w:val="1A2332"/>
          <w:sz w:val="44"/>
          <w:szCs w:val="44"/>
        </w:rPr>
        <w:t xml:space="preserve">Saturday School Attendance Recovery Program</w:t>
      </w:r>
    </w:p>
    <w:p>
      <w:pPr>
        <w:spacing w:after="80"/>
      </w:pPr>
      <w:r>
        <w:rPr>
          <w:rFonts w:ascii="Arial" w:cs="Arial" w:eastAsia="Arial" w:hAnsi="Arial"/>
          <w:color w:val="6B7A8D"/>
          <w:sz w:val="36"/>
          <w:szCs w:val="36"/>
        </w:rPr>
        <w:t xml:space="preserve">MOU Negotiation Brief</w:t>
      </w:r>
    </w:p>
    <w:p>
      <w:pPr>
        <w:spacing w:after="400"/>
      </w:pPr>
      <w:r>
        <w:rPr>
          <w:rFonts w:ascii="Arial" w:cs="Arial" w:eastAsia="Arial" w:hAnsi="Arial"/>
          <w:color w:val="6B7A8D"/>
          <w:sz w:val="22"/>
          <w:szCs w:val="22"/>
        </w:rPr>
        <w:t xml:space="preserve">Financial Analysis &amp; Recommendation for the 2026–27 Collective Bargaining Cycle</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40"/>
            </w:pPr>
            <w:r>
              <w:rPr>
                <w:rFonts w:ascii="Arial" w:cs="Arial" w:eastAsia="Arial" w:hAnsi="Arial"/>
                <w:b/>
                <w:bCs/>
                <w:color w:val="6B7A8D"/>
                <w:sz w:val="16"/>
                <w:szCs w:val="16"/>
              </w:rPr>
              <w:t xml:space="preserve">CURRENT ANNUAL COST</w:t>
            </w:r>
          </w:p>
          <w:p>
            <w:pPr>
              <w:spacing w:after="40"/>
            </w:pPr>
            <w:r>
              <w:rPr>
                <w:rFonts w:ascii="Arial" w:cs="Arial" w:eastAsia="Arial" w:hAnsi="Arial"/>
                <w:b/>
                <w:bCs/>
                <w:color w:val="C53030"/>
                <w:sz w:val="28"/>
                <w:szCs w:val="28"/>
              </w:rPr>
              <w:t xml:space="preserve">$3,000,000</w:t>
            </w:r>
          </w:p>
          <w:p>
            <w:pPr>
              <w:spacing w:after="0"/>
            </w:pPr>
            <w:r>
              <w:rPr>
                <w:rFonts w:ascii="Arial" w:cs="Arial" w:eastAsia="Arial" w:hAnsi="Arial"/>
                <w:color w:val="6B7A8D"/>
                <w:sz w:val="16"/>
                <w:szCs w:val="16"/>
              </w:rPr>
              <w:t xml:space="preserve">19 Saturdays, ~30 sites (2024–25)</w:t>
            </w:r>
          </w:p>
        </w:tc>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40"/>
            </w:pPr>
            <w:r>
              <w:rPr>
                <w:rFonts w:ascii="Arial" w:cs="Arial" w:eastAsia="Arial" w:hAnsi="Arial"/>
                <w:b/>
                <w:bCs/>
                <w:color w:val="6B7A8D"/>
                <w:sz w:val="16"/>
                <w:szCs w:val="16"/>
              </w:rPr>
              <w:t>LCFF RECOVERY VALUE</w:t>
            </w:r>
          </w:p>
          <w:p>
            <w:pPr>
              <w:spacing w:after="40"/>
            </w:pPr>
            <w:r>
              <w:rPr>
                <w:rFonts w:ascii="Arial" w:cs="Arial" w:eastAsia="Arial" w:hAnsi="Arial"/>
                <w:b/>
                <w:bCs/>
                <w:color w:val="2D8A4E"/>
                <w:sz w:val="28"/>
                <w:szCs w:val="28"/>
              </w:rPr>
              <w:t xml:space="preserve">~$92/day</w:t>
            </w:r>
          </w:p>
          <w:p>
            <w:pPr>
              <w:spacing w:after="0"/>
            </w:pPr>
            <w:r>
              <w:rPr>
                <w:rFonts w:ascii="Arial" w:cs="Arial" w:eastAsia="Arial" w:hAnsi="Arial"/>
                <w:color w:val="6B7A8D"/>
                <w:sz w:val="16"/>
                <w:szCs w:val="16"/>
              </w:rPr>
              <w:t xml:space="preserve">LCFF revenue / funded ADA / 180 days</w:t>
            </w:r>
          </w:p>
        </w:tc>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40"/>
            </w:pPr>
            <w:r>
              <w:rPr>
                <w:rFonts w:ascii="Arial" w:cs="Arial" w:eastAsia="Arial" w:hAnsi="Arial"/>
                <w:b/>
                <w:bCs/>
                <w:color w:val="6B7A8D"/>
                <w:sz w:val="16"/>
                <w:szCs w:val="16"/>
              </w:rPr>
              <w:t xml:space="preserve">PRIOR ROI ANALYSIS</w:t>
            </w:r>
          </w:p>
          <w:p>
            <w:pPr>
              <w:spacing w:after="40"/>
            </w:pPr>
            <w:r>
              <w:rPr>
                <w:rFonts w:ascii="Arial" w:cs="Arial" w:eastAsia="Arial" w:hAnsi="Arial"/>
                <w:b/>
                <w:bCs/>
                <w:color w:val="C53030"/>
                <w:sz w:val="28"/>
                <w:szCs w:val="28"/>
              </w:rPr>
              <w:t xml:space="preserve">None</w:t>
            </w:r>
          </w:p>
          <w:p>
            <w:pPr>
              <w:spacing w:after="0"/>
            </w:pPr>
            <w:r>
              <w:rPr>
                <w:rFonts w:ascii="Arial" w:cs="Arial" w:eastAsia="Arial" w:hAnsi="Arial"/>
                <w:color w:val="6B7A8D"/>
                <w:sz w:val="16"/>
                <w:szCs w:val="16"/>
              </w:rPr>
              <w:t xml:space="preserve">No cost-recovery modeling exists to date</w:t>
            </w:r>
          </w:p>
        </w:tc>
      </w:tr>
    </w:tbl>
    <w:p>
      <w:pPr>
        <w:spacing w:before="60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00"/>
        <w:gridCol w:w="7248"/>
      </w:tblGrid>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color w:val="6B7A8D"/>
                <w:sz w:val="18"/>
                <w:szCs w:val="18"/>
              </w:rPr>
              <w:t xml:space="preserve">Prepared by</w:t>
            </w:r>
          </w:p>
        </w:tc>
        <w:tc>
          <w:tcPr>
            <w:tcW w:type="dxa" w:w="724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Attendly (Curacubby, Inc.)</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color w:val="6B7A8D"/>
                <w:sz w:val="18"/>
                <w:szCs w:val="18"/>
              </w:rPr>
              <w:t xml:space="preserve">Prepared for</w:t>
            </w:r>
          </w:p>
        </w:tc>
        <w:tc>
          <w:tcPr>
            <w:tcW w:type="dxa" w:w="724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Michele DeJournett, Director of Educational Services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color w:val="6B7A8D"/>
                <w:sz w:val="18"/>
                <w:szCs w:val="18"/>
              </w:rPr>
              <w:t xml:space="preserve">Date</w:t>
            </w:r>
          </w:p>
        </w:tc>
        <w:tc>
          <w:tcPr>
            <w:tcW w:type="dxa" w:w="724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February 2026 (Draft)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color w:val="6B7A8D"/>
                <w:sz w:val="18"/>
                <w:szCs w:val="18"/>
              </w:rPr>
              <w:t xml:space="preserve">Target</w:t>
            </w:r>
          </w:p>
        </w:tc>
        <w:tc>
          <w:tcPr>
            <w:tcW w:type="dxa" w:w="724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Sep/Oct 2026 Collective Bargaining Cycle</w:t>
            </w:r>
          </w:p>
        </w:tc>
      </w:tr>
    </w:tbl>
    <w:p>
      <w:r>
        <w:br w:type="page"/>
      </w:r>
    </w:p>
    <w:p>
      <w:pPr>
        <w:pStyle w:val="Heading1"/>
        <w:spacing w:before="360" w:after="160"/>
      </w:pPr>
      <w:r>
        <w:rPr>
          <w:rFonts w:ascii="Arial" w:cs="Arial" w:eastAsia="Arial" w:hAnsi="Arial"/>
          <w:b/>
          <w:bCs/>
          <w:color w:val="1A2332"/>
          <w:sz w:val="32"/>
          <w:szCs w:val="32"/>
        </w:rPr>
        <w:t xml:space="preserve">Executive Summary</w:t>
      </w:r>
    </w:p>
    <w:p>
      <w:pPr>
        <w:spacing w:after="160"/>
      </w:pPr>
      <w:r>
        <w:rPr>
          <w:rFonts w:ascii="Arial" w:cs="Arial" w:eastAsia="Arial" w:hAnsi="Arial"/>
          <w:sz w:val="22"/>
          <w:szCs w:val="22"/>
        </w:rPr>
        <w:t xml:space="preserve">Santa Ana USD spent approximately $3 million on Saturday School in 2024–25, operating 19 Saturdays across roughly 30 school sites. No cost-recovery analysis has ever been performed on this program. This brief presents the first financial modeling of Saturday School economics and identifies a structural problem in the current MOU instructional rate that makes the program a net cost center rather than the revenue recovery tool it should be.</w:t>
      </w:r>
    </w:p>
    <w:p>
      <w:pPr>
        <w:spacing w:after="160"/>
      </w:pPr>
      <w:r>
        <w:rPr>
          <w:rFonts w:ascii="Arial" w:cs="Arial" w:eastAsia="Arial" w:hAnsi="Arial"/>
          <w:b/>
          <w:bCs/>
          <w:sz w:val="22"/>
          <w:szCs w:val="22"/>
        </w:rPr>
        <w:t xml:space="preserve">The core finding: </w:t>
      </w:r>
      <w:r>
        <w:rPr>
          <w:rFonts w:ascii="Arial" w:cs="Arial" w:eastAsia="Arial" w:hAnsi="Arial"/>
          <w:sz w:val="22"/>
          <w:szCs w:val="22"/>
        </w:rPr>
        <w:t>California’s new Attendance Recovery statute (SB 153/176, effective FY 2025–26) created a state-backed mechanism for districts to recover ADA lost to student absences. At SAUSD’s estimated LCFF rate of ~$92 per recovered day, Saturday School should generate significant net revenue. However, the current CBA instructional rate formula (0.000833 × individual salary placement) creates a pay structure where senior teachers cost the district $360–$444 per 4-hour Saturday — requiring 12+ students per teacher just to break even at elementary sites, before overhead.</w:t>
      </w:r>
    </w:p>
    <w:p>
      <w:pPr>
        <w:spacing w:after="160"/>
      </w:pPr>
      <w:r>
        <w:rPr>
          <w:rFonts w:ascii="Arial" w:cs="Arial" w:eastAsia="Arial" w:hAnsi="Arial"/>
          <w:b/>
          <w:bCs/>
          <w:sz w:val="22"/>
          <w:szCs w:val="22"/>
        </w:rPr>
        <w:t xml:space="preserve">The recommendation: </w:t>
      </w:r>
      <w:r>
        <w:rPr>
          <w:rFonts w:ascii="Arial" w:cs="Arial" w:eastAsia="Arial" w:hAnsi="Arial"/>
          <w:sz w:val="22"/>
          <w:szCs w:val="22"/>
        </w:rPr>
        <w:t xml:space="preserve">Bring a data-backed proposal to the Sep/Oct 2026 collective bargaining cycle to transition Saturday School instructional pay from the current formula-based rate to a flat rate of $50/hour, consistent with comparable California districts. This change would reduce the per-teacher break-even threshold from 12+ students to 3 students, making every participating site financially viable.</w:t>
      </w:r>
    </w:p>
    <w:p>
      <w:r>
        <w:br w:type="page"/>
      </w:r>
    </w:p>
    <w:p>
      <w:pPr>
        <w:pStyle w:val="Heading1"/>
        <w:spacing w:before="360" w:after="160"/>
      </w:pPr>
      <w:r>
        <w:rPr>
          <w:rFonts w:ascii="Arial" w:cs="Arial" w:eastAsia="Arial" w:hAnsi="Arial"/>
          <w:b/>
          <w:bCs/>
          <w:color w:val="1A2332"/>
          <w:sz w:val="32"/>
          <w:szCs w:val="32"/>
        </w:rPr>
        <w:t xml:space="preserve">1. The Problem: A Rate Designed for a Different Purpose</w:t>
      </w:r>
    </w:p>
    <w:p>
      <w:pPr>
        <w:spacing w:after="160"/>
      </w:pPr>
      <w:r>
        <w:rPr>
          <w:rFonts w:ascii="Arial" w:cs="Arial" w:eastAsia="Arial" w:hAnsi="Arial"/>
          <w:sz w:val="22"/>
          <w:szCs w:val="22"/>
        </w:rPr>
        <w:t xml:space="preserve">The current MOU instructional rate was negotiated under Article VII, Section 7.6.8 B of the collective bargaining agreement. The formula ties Saturday School pay directly to each teacher’s salary placement on the district schedule:</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single" w:color="CCCCCC" w:sz="1"/>
              <w:left w:val="single" w:color="CCCCCC" w:sz="1"/>
              <w:bottom w:val="single" w:color="CCCCCC" w:sz="1"/>
              <w:right w:val="single" w:color="CCCCCC" w:sz="1"/>
            </w:tcBorders>
            <w:shd w:fill="FFF8F0" w:val="clear"/>
            <w:tcMar>
              <w:top w:type="dxa" w:w="80"/>
              <w:left w:type="dxa" w:w="120"/>
              <w:bottom w:type="dxa" w:w="80"/>
              <w:right w:type="dxa" w:w="120"/>
            </w:tcMar>
          </w:tcPr>
          <w:p>
            <w:pPr>
              <w:spacing w:after="60"/>
            </w:pPr>
            <w:r>
              <w:rPr>
                <w:rFonts w:ascii="Arial" w:cs="Arial" w:eastAsia="Arial" w:hAnsi="Arial"/>
                <w:b/>
                <w:bCs/>
                <w:color w:val="B8860B"/>
                <w:sz w:val="18"/>
                <w:szCs w:val="18"/>
              </w:rPr>
              <w:t xml:space="preserve">INSTRUCTIONAL RATE (Teachers)</w:t>
            </w:r>
          </w:p>
          <w:p>
            <w:pPr>
              <w:spacing w:after="60"/>
            </w:pPr>
            <w:r>
              <w:rPr>
                <w:rFonts w:ascii="Arial" w:cs="Arial" w:eastAsia="Arial" w:hAnsi="Arial"/>
                <w:b/>
                <w:bCs/>
                <w:sz w:val="20"/>
                <w:szCs w:val="20"/>
              </w:rPr>
              <w:t xml:space="preserve">0.000833 × individual salary placement</w:t>
            </w:r>
          </w:p>
          <w:p>
            <w:pPr>
              <w:spacing w:after="40"/>
            </w:pPr>
            <w:r>
              <w:rPr>
                <w:rFonts w:ascii="Arial" w:cs="Arial" w:eastAsia="Arial" w:hAnsi="Arial"/>
                <w:color w:val="6B7A8D"/>
                <w:sz w:val="18"/>
                <w:szCs w:val="18"/>
              </w:rPr>
              <w:t xml:space="preserve">Range: $67.24 – $111.13/hour</w:t>
            </w:r>
          </w:p>
          <w:p>
            <w:pPr>
              <w:spacing w:after="0"/>
            </w:pPr>
            <w:r>
              <w:rPr>
                <w:rFonts w:ascii="Arial" w:cs="Arial" w:eastAsia="Arial" w:hAnsi="Arial"/>
                <w:color w:val="6B7A8D"/>
                <w:sz w:val="18"/>
                <w:szCs w:val="18"/>
              </w:rPr>
              <w:t xml:space="preserve">4-hour Saturday range: $268.96 – $444.53</w:t>
            </w:r>
          </w:p>
        </w:tc>
        <w:tc>
          <w:tcPr>
            <w:tcW w:type="dxa" w:w="4824"/>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pPr>
              <w:spacing w:after="60"/>
            </w:pPr>
            <w:r>
              <w:rPr>
                <w:rFonts w:ascii="Arial" w:cs="Arial" w:eastAsia="Arial" w:hAnsi="Arial"/>
                <w:b/>
                <w:bCs/>
                <w:color w:val="2D8A4E"/>
                <w:sz w:val="18"/>
                <w:szCs w:val="18"/>
              </w:rPr>
              <w:t xml:space="preserve">NON-INSTRUCTIONAL RATE (Leads)</w:t>
            </w:r>
          </w:p>
          <w:p>
            <w:pPr>
              <w:spacing w:after="60"/>
            </w:pPr>
            <w:r>
              <w:rPr>
                <w:rFonts w:ascii="Arial" w:cs="Arial" w:eastAsia="Arial" w:hAnsi="Arial"/>
                <w:b/>
                <w:bCs/>
                <w:sz w:val="20"/>
                <w:szCs w:val="20"/>
              </w:rPr>
              <w:t xml:space="preserve">0.0006 × Class III, Step 10 ($103,014)</w:t>
            </w:r>
          </w:p>
          <w:p>
            <w:pPr>
              <w:spacing w:after="40"/>
            </w:pPr>
            <w:r>
              <w:rPr>
                <w:rFonts w:ascii="Arial" w:cs="Arial" w:eastAsia="Arial" w:hAnsi="Arial"/>
                <w:color w:val="6B7A8D"/>
                <w:sz w:val="18"/>
                <w:szCs w:val="18"/>
              </w:rPr>
              <w:t xml:space="preserve">Flat: $61.81/hour (all leads)</w:t>
            </w:r>
          </w:p>
          <w:p>
            <w:pPr>
              <w:spacing w:after="0"/>
            </w:pPr>
            <w:r>
              <w:rPr>
                <w:rFonts w:ascii="Arial" w:cs="Arial" w:eastAsia="Arial" w:hAnsi="Arial"/>
                <w:color w:val="6B7A8D"/>
                <w:sz w:val="18"/>
                <w:szCs w:val="18"/>
              </w:rPr>
              <w:t xml:space="preserve">4-hour Saturday: $247.24 per lead</w:t>
            </w:r>
          </w:p>
        </w:tc>
      </w:tr>
    </w:tbl>
    <w:p>
      <w:pPr>
        <w:spacing w:after="120"/>
      </w:pPr>
      <w:r>
        <w:rPr>
          <w:rFonts w:ascii="Arial" w:cs="Arial" w:eastAsia="Arial" w:hAnsi="Arial"/>
          <w:sz w:val="22"/>
          <w:szCs w:val="22"/>
        </w:rPr>
        <w:t xml:space="preserve"/>
      </w:r>
    </w:p>
    <w:p>
      <w:pPr>
        <w:spacing w:after="160"/>
      </w:pPr>
      <w:r>
        <w:rPr>
          <w:rFonts w:ascii="Arial" w:cs="Arial" w:eastAsia="Arial" w:hAnsi="Arial"/>
          <w:sz w:val="22"/>
          <w:szCs w:val="22"/>
        </w:rPr>
        <w:t xml:space="preserve">This formula was designed for general extra-duty assignments. It was not designed for a high-volume attendance recovery program where the district’s return depends on student participation volume against teacher cost. The result is a structural mismatch:</w:t>
      </w:r>
    </w:p>
    <w:p>
      <w:pPr>
        <w:pStyle w:val="ListParagraph"/>
        <w:numPr>
          <w:ilvl w:val="0"/>
          <w:numId w:val="2"/>
        </w:numPr>
        <w:spacing w:after="80"/>
      </w:pPr>
      <w:r>
        <w:rPr>
          <w:rFonts w:ascii="Arial" w:cs="Arial" w:eastAsia="Arial" w:hAnsi="Arial"/>
          <w:sz w:val="22"/>
          <w:szCs w:val="22"/>
        </w:rPr>
        <w:t xml:space="preserve">Senior teachers (Step 7+) are the most likely to volunteer for Saturday School at elementary sites, where they cost $320–$444 per 4-hour session.</w:t>
      </w:r>
    </w:p>
    <w:p>
      <w:pPr>
        <w:pStyle w:val="ListParagraph"/>
        <w:numPr>
          <w:ilvl w:val="0"/>
          <w:numId w:val="2"/>
        </w:numPr>
        <w:spacing w:after="80"/>
      </w:pPr>
      <w:r>
        <w:rPr>
          <w:rFonts w:ascii="Arial" w:cs="Arial" w:eastAsia="Arial" w:hAnsi="Arial"/>
          <w:sz w:val="22"/>
          <w:szCs w:val="22"/>
        </w:rPr>
        <w:t xml:space="preserve">Elementary sites average 8–12 students per teacher — well below the 20:1 ratio cap.</w:t>
      </w:r>
    </w:p>
    <w:p>
      <w:pPr>
        <w:pStyle w:val="ListParagraph"/>
        <w:numPr>
          <w:ilvl w:val="0"/>
          <w:numId w:val="2"/>
        </w:numPr>
        <w:spacing w:after="80"/>
      </w:pPr>
      <w:r>
        <w:rPr>
          <w:rFonts w:ascii="Arial" w:cs="Arial" w:eastAsia="Arial" w:hAnsi="Arial"/>
          <w:sz w:val="22"/>
          <w:szCs w:val="22"/>
        </w:rPr>
        <w:t>At $92/day LCFF recovery value, a senior teacher (Class III, Step 9) requires 5 students just to cover the teacher’s pay — and 8+ students to cover pay plus site overhead.</w:t>
      </w:r>
    </w:p>
    <w:p>
      <w:pPr>
        <w:pStyle w:val="ListParagraph"/>
        <w:numPr>
          <w:ilvl w:val="0"/>
          <w:numId w:val="2"/>
        </w:numPr>
        <w:spacing w:after="200"/>
      </w:pPr>
      <w:r>
        <w:rPr>
          <w:rFonts w:ascii="Arial" w:cs="Arial" w:eastAsia="Arial" w:hAnsi="Arial"/>
          <w:sz w:val="22"/>
          <w:szCs w:val="22"/>
        </w:rPr>
        <w:t xml:space="preserve">At elementary sites averaging 10 students per teacher, the program loses money on every Saturday — before accounting for nutrition services, custodial, security, LVN/RN, and special education overhead.</w:t>
      </w:r>
    </w:p>
    <w:p>
      <w:pPr>
        <w:spacing w:after="160"/>
      </w:pPr>
      <w:r>
        <w:rPr>
          <w:rFonts w:ascii="Arial" w:cs="Arial" w:eastAsia="Arial" w:hAnsi="Arial"/>
          <w:b/>
          <w:bCs/>
          <w:sz w:val="22"/>
          <w:szCs w:val="22"/>
        </w:rPr>
        <w:t xml:space="preserve">The teacher did nothing wrong. The formula did. </w:t>
      </w:r>
      <w:r>
        <w:rPr>
          <w:rFonts w:ascii="Arial" w:cs="Arial" w:eastAsia="Arial" w:hAnsi="Arial"/>
          <w:sz w:val="22"/>
          <w:szCs w:val="22"/>
        </w:rPr>
        <w:t xml:space="preserve">The rate scales with seniority while attendance does not. A Class IV Step 12 teacher at $133,412 costs $111.13/hour — 1.65× more than an entry-level teacher — for the same 4-hour Saturday with the same number of students.</w:t>
      </w:r>
    </w:p>
    <w:p>
      <w:r>
        <w:br w:type="page"/>
      </w:r>
    </w:p>
    <w:p>
      <w:pPr>
        <w:pStyle w:val="Heading1"/>
        <w:spacing w:before="360" w:after="160"/>
      </w:pPr>
      <w:r>
        <w:rPr>
          <w:rFonts w:ascii="Arial" w:cs="Arial" w:eastAsia="Arial" w:hAnsi="Arial"/>
          <w:b/>
          <w:bCs/>
          <w:color w:val="1A2332"/>
          <w:sz w:val="32"/>
          <w:szCs w:val="32"/>
        </w:rPr>
        <w:t xml:space="preserve">2. The Opportunity: SB 153/176 Changed the Landscape</w:t>
      </w:r>
    </w:p>
    <w:p>
      <w:pPr>
        <w:spacing w:after="160"/>
      </w:pPr>
      <w:r>
        <w:rPr>
          <w:rFonts w:ascii="Arial" w:cs="Arial" w:eastAsia="Arial" w:hAnsi="Arial"/>
          <w:sz w:val="22"/>
          <w:szCs w:val="22"/>
        </w:rPr>
        <w:t xml:space="preserve">Effective fiscal year 2025–26, California formally codified the Attendance Recovery program through SB 153 (Chapter 38, Statutes of 2024) and SB 176 (Chapter 998, Statutes of 2024), establishing Education Code Sections 46210–46211. This statute:</w:t>
      </w:r>
    </w:p>
    <w:p>
      <w:pPr>
        <w:pStyle w:val="ListParagraph"/>
        <w:numPr>
          <w:ilvl w:val="0"/>
          <w:numId w:val="3"/>
        </w:numPr>
        <w:spacing w:after="80"/>
      </w:pPr>
      <w:r>
        <w:rPr>
          <w:rFonts w:ascii="Arial" w:cs="Arial" w:eastAsia="Arial" w:hAnsi="Arial"/>
          <w:sz w:val="22"/>
          <w:szCs w:val="22"/>
        </w:rPr>
        <w:t xml:space="preserve">Allows districts to recover up to 10 absences per student per year through supplementary sessions outside the regular school day — including weekends, before/after school, and intersession periods.</w:t>
      </w:r>
    </w:p>
    <w:p>
      <w:pPr>
        <w:pStyle w:val="ListParagraph"/>
        <w:numPr>
          <w:ilvl w:val="0"/>
          <w:numId w:val="3"/>
        </w:numPr>
        <w:spacing w:after="80"/>
      </w:pPr>
      <w:r>
        <w:rPr>
          <w:rFonts w:ascii="Arial" w:cs="Arial" w:eastAsia="Arial" w:hAnsi="Arial"/>
          <w:sz w:val="22"/>
          <w:szCs w:val="22"/>
        </w:rPr>
        <w:t xml:space="preserve">Requires sessions to be taught by certificated teachers with instruction substantially equivalent to the school day.</w:t>
      </w:r>
    </w:p>
    <w:p>
      <w:pPr>
        <w:pStyle w:val="ListParagraph"/>
        <w:numPr>
          <w:ilvl w:val="0"/>
          <w:numId w:val="3"/>
        </w:numPr>
        <w:spacing w:after="80"/>
      </w:pPr>
      <w:r>
        <w:rPr>
          <w:rFonts w:ascii="Arial" w:cs="Arial" w:eastAsia="Arial" w:hAnsi="Arial"/>
          <w:sz w:val="22"/>
          <w:szCs w:val="22"/>
        </w:rPr>
        <w:t xml:space="preserve">Counts recovered ADA toward the P-2 reporting period (April 15 deadline) for LCFF apportionment.</w:t>
      </w:r>
    </w:p>
    <w:p>
      <w:pPr>
        <w:pStyle w:val="ListParagraph"/>
        <w:numPr>
          <w:ilvl w:val="0"/>
          <w:numId w:val="3"/>
        </w:numPr>
        <w:spacing w:after="80"/>
      </w:pPr>
      <w:r>
        <w:rPr>
          <w:rFonts w:ascii="Arial" w:cs="Arial" w:eastAsia="Arial" w:hAnsi="Arial"/>
          <w:sz w:val="22"/>
          <w:szCs w:val="22"/>
        </w:rPr>
        <w:t xml:space="preserve">Reports AR ADA as a separate line in the Principal Apportionment Data Collection (PADC).</w:t>
      </w:r>
    </w:p>
    <w:p>
      <w:pPr>
        <w:pStyle w:val="ListParagraph"/>
        <w:numPr>
          <w:ilvl w:val="0"/>
          <w:numId w:val="3"/>
        </w:numPr>
        <w:spacing w:after="200"/>
      </w:pPr>
      <w:r>
        <w:rPr>
          <w:rFonts w:ascii="Arial" w:cs="Arial" w:eastAsia="Arial" w:hAnsi="Arial"/>
          <w:sz w:val="22"/>
          <w:szCs w:val="22"/>
        </w:rPr>
        <w:t xml:space="preserve">Permits summer sessions (after July 1) to bank days before absences even occur.</w:t>
      </w:r>
    </w:p>
    <w:p>
      <w:pPr>
        <w:spacing w:after="160"/>
      </w:pPr>
      <w:r>
        <w:rPr>
          <w:rFonts w:ascii="Arial" w:cs="Arial" w:eastAsia="Arial" w:hAnsi="Arial"/>
          <w:b/>
          <w:bCs/>
          <w:sz w:val="22"/>
          <w:szCs w:val="22"/>
        </w:rPr>
        <w:t xml:space="preserve">This is new. </w:t>
      </w:r>
      <w:r>
        <w:rPr>
          <w:rFonts w:ascii="Arial" w:cs="Arial" w:eastAsia="Arial" w:hAnsi="Arial"/>
          <w:sz w:val="22"/>
          <w:szCs w:val="22"/>
        </w:rPr>
        <w:t xml:space="preserve">The current MOU instructional rate was negotiated before Attendance Recovery existed as formal statute. The state has created a funded mechanism for districts to recover ADA lost to absences — but SAUSD’s current pay formula makes it economically unviable to operate this program at scale. The rate and the program are misaligned.</w:t>
      </w:r>
    </w:p>
    <w:p>
      <w:pPr>
        <w:pStyle w:val="Heading2"/>
        <w:spacing w:before="240" w:after="160"/>
      </w:pPr>
      <w:r>
        <w:rPr>
          <w:rFonts w:ascii="Arial" w:cs="Arial" w:eastAsia="Arial" w:hAnsi="Arial"/>
          <w:b/>
          <w:bCs/>
          <w:color w:val="1A2332"/>
          <w:sz w:val="26"/>
          <w:szCs w:val="26"/>
        </w:rPr>
        <w:t xml:space="preserve">SAUSD Financial Context</w:t>
      </w:r>
    </w:p>
    <w:p>
      <w:pPr>
        <w:spacing w:after="160"/>
      </w:pPr>
      <w:r>
        <w:rPr>
          <w:rFonts w:ascii="Arial" w:cs="Arial" w:eastAsia="Arial" w:hAnsi="Arial"/>
          <w:sz w:val="22"/>
          <w:szCs w:val="22"/>
        </w:rPr>
        <w:t xml:space="preserve">Based on publicly available financial data from the 2023–24 Unaudited Actuals report:</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LCFF Revenue (2023–24)</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20"/>
                <w:szCs w:val="20"/>
              </w:rPr>
              <w:t xml:space="preserve">~$585,498,126</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Funded ADA</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~35,442</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Unduplicated Pupil Percentage</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91.44% (drives high supplemental/concentration grants)</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Estimated Per-ADA Annual Value</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2D8A4E"/>
                <w:sz w:val="20"/>
                <w:szCs w:val="20"/>
              </w:rPr>
              <w:t xml:space="preserve">~$16,525 annually / ~$92 per day</w:t>
            </w:r>
          </w:p>
        </w:tc>
      </w:tr>
    </w:tbl>
    <w:p>
      <w:pPr>
        <w:spacing w:after="80"/>
      </w:pPr>
      <w:r>
        <w:rPr>
          <w:rFonts w:ascii="Arial" w:cs="Arial" w:eastAsia="Arial" w:hAnsi="Arial"/>
          <w:sz w:val="22"/>
          <w:szCs w:val="22"/>
        </w:rPr>
        <w:t xml:space="preserve"/>
      </w:r>
    </w:p>
    <w:p>
      <w:pPr>
        <w:spacing w:after="160"/>
      </w:pPr>
      <w:r>
        <w:rPr>
          <w:rFonts w:ascii="Arial" w:cs="Arial" w:eastAsia="Arial" w:hAnsi="Arial"/>
          <w:b/>
          <w:bCs/>
          <w:i/>
          <w:iCs/>
          <w:sz w:val="22"/>
          <w:szCs w:val="22"/>
        </w:rPr>
        <w:t xml:space="preserve">Note: </w:t>
      </w:r>
      <w:r>
        <w:rPr>
          <w:rFonts w:ascii="Arial" w:cs="Arial" w:eastAsia="Arial" w:hAnsi="Arial"/>
          <w:i/>
          <w:iCs/>
          <w:sz w:val="22"/>
          <w:szCs w:val="22"/>
        </w:rPr>
        <w:t xml:space="preserve">The per-day ADA value should be confirmed with district finance. This estimate is derived from publicly reported LCFF data and is consistent with high-UPP unified districts in Southern California.</w:t>
      </w:r>
    </w:p>
    <w:p>
      <w:r>
        <w:br w:type="page"/>
      </w:r>
    </w:p>
    <w:p>
      <w:pPr>
        <w:pStyle w:val="Heading1"/>
        <w:spacing w:before="360" w:after="160"/>
      </w:pPr>
      <w:r>
        <w:rPr>
          <w:rFonts w:ascii="Arial" w:cs="Arial" w:eastAsia="Arial" w:hAnsi="Arial"/>
          <w:b/>
          <w:bCs/>
          <w:color w:val="1A2332"/>
          <w:sz w:val="32"/>
          <w:szCs w:val="32"/>
        </w:rPr>
        <w:t xml:space="preserve">3. The Ask: Flat-Rate Instructional Pay for Saturday School</w:t>
      </w:r>
    </w:p>
    <w:p>
      <w:pPr>
        <w:spacing w:after="160"/>
      </w:pPr>
      <w:r>
        <w:rPr>
          <w:rFonts w:ascii="Arial" w:cs="Arial" w:eastAsia="Arial" w:hAnsi="Arial"/>
          <w:sz w:val="22"/>
          <w:szCs w:val="22"/>
        </w:rPr>
        <w:t xml:space="preserve">Under the Educational Employment Relations Act (EERA, Government Code §3543.2), extra duty pay is a mandatory subject of collective bargaining. The district cannot unilaterally change the Saturday School instructional rate. However, the Rodda Act requires CBA terms to be reviewed at least every three years, and either party may bring new issues to the table when a negotiation cycle opens.</w:t>
      </w:r>
    </w:p>
    <w:p>
      <w:pPr>
        <w:spacing w:after="160"/>
      </w:pPr>
      <w:r>
        <w:rPr>
          <w:rFonts w:ascii="Arial" w:cs="Arial" w:eastAsia="Arial" w:hAnsi="Arial"/>
          <w:b/>
          <w:bCs/>
          <w:sz w:val="22"/>
          <w:szCs w:val="22"/>
        </w:rPr>
        <w:t xml:space="preserve">The proposal: </w:t>
      </w:r>
      <w:r>
        <w:rPr>
          <w:rFonts w:ascii="Arial" w:cs="Arial" w:eastAsia="Arial" w:hAnsi="Arial"/>
          <w:sz w:val="22"/>
          <w:szCs w:val="22"/>
        </w:rPr>
        <w:t xml:space="preserve">Transition Saturday School instructional pay from the current formula rate (0.000833 × salary placement) to a flat rate of $50/hour for all participating teachers, regardless of salary step or column placement. This is consistent with rates used by comparable California districts for Saturday and weekend instructional assignments.</w:t>
      </w:r>
    </w:p>
    <w:p>
      <w:pPr>
        <w:pStyle w:val="Heading2"/>
        <w:spacing w:before="240" w:after="160"/>
      </w:pPr>
      <w:r>
        <w:rPr>
          <w:rFonts w:ascii="Arial" w:cs="Arial" w:eastAsia="Arial" w:hAnsi="Arial"/>
          <w:b/>
          <w:bCs/>
          <w:color w:val="1A2332"/>
          <w:sz w:val="26"/>
          <w:szCs w:val="26"/>
        </w:rPr>
        <w:t xml:space="preserve">Side-by-Side Comparison</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sz w:val="20"/>
                <w:szCs w:val="20"/>
              </w:rPr>
              <w:t xml:space="preserve"/>
            </w:r>
          </w:p>
        </w:tc>
        <w:tc>
          <w:tcPr>
            <w:tcW w:type="dxa" w:w="3216"/>
            <w:tcBorders>
              <w:top w:val="single" w:color="CCCCCC" w:sz="1"/>
              <w:left w:val="single" w:color="CCCCCC" w:sz="1"/>
              <w:bottom w:val="single" w:color="CCCCCC" w:sz="1"/>
              <w:right w:val="single" w:color="CCCCCC" w:sz="1"/>
            </w:tcBorders>
            <w:shd w:fill="FEF2F2" w:val="clear"/>
            <w:tcMar>
              <w:top w:type="dxa" w:w="80"/>
              <w:left w:type="dxa" w:w="120"/>
              <w:bottom w:type="dxa" w:w="80"/>
              <w:right w:type="dxa" w:w="120"/>
            </w:tcMar>
          </w:tcPr>
          <w:p>
            <w:pPr>
              <w:spacing w:after="0"/>
            </w:pPr>
            <w:r>
              <w:rPr>
                <w:rFonts w:ascii="Arial" w:cs="Arial" w:eastAsia="Arial" w:hAnsi="Arial"/>
                <w:b/>
                <w:bCs/>
                <w:color w:val="C53030"/>
                <w:sz w:val="18"/>
                <w:szCs w:val="18"/>
              </w:rPr>
              <w:t xml:space="preserve">CURRENT FORMULA</w:t>
            </w:r>
          </w:p>
        </w:tc>
        <w:tc>
          <w:tcPr>
            <w:tcW w:type="dxa" w:w="3216"/>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tcPr>
          <w:p>
            <w:pPr>
              <w:spacing w:after="0"/>
            </w:pPr>
            <w:r>
              <w:rPr>
                <w:rFonts w:ascii="Arial" w:cs="Arial" w:eastAsia="Arial" w:hAnsi="Arial"/>
                <w:b/>
                <w:bCs/>
                <w:color w:val="2D8A4E"/>
                <w:sz w:val="18"/>
                <w:szCs w:val="18"/>
              </w:rPr>
              <w:t xml:space="preserve">PROPOSED FLAT RATE</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Hourly Rate</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$67.24 – $111.13</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$50.00 (all teachers)</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4-Hour Saturday Cost</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$268.96 – $444.53</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$200.00 (all teachers)</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Break-even (per teacher)</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4 students (senior)</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3 students (any teacher)</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Break-even (per site, 4 teachers + overhead)</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12–16 students</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12–13 students</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Elementary viable? (avg 10 students/teacher)</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NO — loss per Saturday</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YES — surplus per Saturday</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Budget predictability</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Varies by who volunteers</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Fixed and predictable</w:t>
            </w:r>
          </w:p>
        </w:tc>
      </w:tr>
      <w:tr>
        <w:tc>
          <w:tcPr>
            <w:tcW w:type="dxa" w:w="3216"/>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Senior teacher incentive</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Higher pay → higher cost</w:t>
            </w:r>
          </w:p>
        </w:tc>
        <w:tc>
          <w:tcPr>
            <w:tcW w:type="dxa" w:w="321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20"/>
                <w:szCs w:val="20"/>
              </w:rPr>
              <w:t xml:space="preserve">Equal pay → equitable</w:t>
            </w:r>
          </w:p>
        </w:tc>
      </w:tr>
    </w:tbl>
    <w:p>
      <w:pPr>
        <w:pStyle w:val="Heading2"/>
        <w:spacing w:before="240" w:after="160"/>
      </w:pPr>
      <w:r>
        <w:rPr>
          <w:rFonts w:ascii="Arial" w:cs="Arial" w:eastAsia="Arial" w:hAnsi="Arial"/>
          <w:b/>
          <w:bCs/>
          <w:color w:val="1A2332"/>
          <w:sz w:val="26"/>
          <w:szCs w:val="26"/>
        </w:rPr>
        <w:t xml:space="preserve">Annual Financial Impact</w:t>
      </w:r>
    </w:p>
    <w:p>
      <w:pPr>
        <w:spacing w:after="160"/>
      </w:pPr>
      <w:r>
        <w:rPr>
          <w:rFonts w:ascii="Arial" w:cs="Arial" w:eastAsia="Arial" w:hAnsi="Arial"/>
          <w:sz w:val="22"/>
          <w:szCs w:val="22"/>
        </w:rPr>
        <w:t xml:space="preserve">Under the current scenario assumptions (19 Saturdays, 30 sites, 4 teachers per site, 70% senior teacher mix):</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4824"/>
        <w:gridCol w:w="4824"/>
      </w:tblGrid>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Total Teacher Cost (Current Formula)</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A2332"/>
                <w:sz w:val="20"/>
                <w:szCs w:val="20"/>
              </w:rPr>
              <w:t xml:space="preserve">~$2,462,000</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Total Teacher Cost (Flat $50/hr)</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A2332"/>
                <w:sz w:val="20"/>
                <w:szCs w:val="20"/>
              </w:rPr>
              <w:t xml:space="preserve">~$1,368,000</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Annual Teacher Cost Reduction</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A2332"/>
                <w:sz w:val="20"/>
                <w:szCs w:val="20"/>
              </w:rPr>
              <w:t xml:space="preserve">~$1,094,000</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Total ADA Revenue (15 avg students/teacher)</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A2332"/>
                <w:sz w:val="20"/>
                <w:szCs w:val="20"/>
              </w:rPr>
              <w:t xml:space="preserve">~$3,139,200</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Net Result (Current Formula, after overhead)</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C53030"/>
                <w:sz w:val="20"/>
                <w:szCs w:val="20"/>
              </w:rPr>
              <w:t xml:space="preserve">Marginal / break-even</w:t>
            </w:r>
          </w:p>
        </w:tc>
      </w:tr>
      <w:tr>
        <w:tc>
          <w:tcPr>
            <w:tcW w:type="dxa" w:w="4824"/>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pPr>
              <w:spacing w:after="0"/>
            </w:pPr>
            <w:r>
              <w:rPr>
                <w:rFonts w:ascii="Arial" w:cs="Arial" w:eastAsia="Arial" w:hAnsi="Arial"/>
                <w:b/>
                <w:bCs/>
                <w:sz w:val="20"/>
                <w:szCs w:val="20"/>
              </w:rPr>
              <w:t xml:space="preserve">Net Result (Flat Rate, after overhead)</w:t>
            </w:r>
          </w:p>
        </w:tc>
        <w:tc>
          <w:tcPr>
            <w:tcW w:type="dxa" w:w="4824"/>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2D8A4E"/>
                <w:sz w:val="20"/>
                <w:szCs w:val="20"/>
              </w:rPr>
              <w:t xml:space="preserve">Positive — program self-funds</w:t>
            </w:r>
          </w:p>
        </w:tc>
      </w:tr>
    </w:tbl>
    <w:p>
      <w:pPr>
        <w:spacing w:after="80"/>
      </w:pPr>
      <w:r>
        <w:rPr>
          <w:rFonts w:ascii="Arial" w:cs="Arial" w:eastAsia="Arial" w:hAnsi="Arial"/>
          <w:sz w:val="22"/>
          <w:szCs w:val="22"/>
        </w:rPr>
        <w:t xml:space="preserve"/>
      </w:r>
    </w:p>
    <w:p>
      <w:pPr>
        <w:spacing w:after="160"/>
      </w:pPr>
      <w:r>
        <w:rPr>
          <w:rFonts w:ascii="Arial" w:cs="Arial" w:eastAsia="Arial" w:hAnsi="Arial"/>
          <w:i/>
          <w:iCs/>
          <w:color w:val="6B7A8D"/>
          <w:sz w:val="20"/>
          <w:szCs w:val="20"/>
        </w:rPr>
        <w:t xml:space="preserve">These projections use estimated values and should be validated with actual 2024–25 data including: per-site attendance records, teacher roster by step/column, and itemized overhead costs per site per Saturday.</w:t>
      </w:r>
    </w:p>
    <w:p>
      <w:r>
        <w:br w:type="page"/>
      </w:r>
    </w:p>
    <w:p>
      <w:pPr>
        <w:pStyle w:val="Heading1"/>
        <w:spacing w:before="360" w:after="160"/>
      </w:pPr>
      <w:r>
        <w:rPr>
          <w:rFonts w:ascii="Arial" w:cs="Arial" w:eastAsia="Arial" w:hAnsi="Arial"/>
          <w:b/>
          <w:bCs/>
          <w:color w:val="1A2332"/>
          <w:sz w:val="32"/>
          <w:szCs w:val="32"/>
        </w:rPr>
        <w:t xml:space="preserve">4. Legal Framework</w:t>
      </w:r>
    </w:p>
    <w:p>
      <w:pPr>
        <w:spacing w:after="160"/>
      </w:pPr>
      <w:r>
        <w:rPr>
          <w:rFonts w:ascii="Arial" w:cs="Arial" w:eastAsia="Arial" w:hAnsi="Arial"/>
          <w:sz w:val="22"/>
          <w:szCs w:val="22"/>
        </w:rPr>
        <w:t xml:space="preserve">This section summarizes the regulatory constraints and opportunities relevant to the proposed rate change.</w:t>
      </w:r>
    </w:p>
    <w:p>
      <w:pPr>
        <w:pStyle w:val="Heading2"/>
        <w:spacing w:before="240" w:after="160"/>
      </w:pPr>
      <w:r>
        <w:rPr>
          <w:rFonts w:ascii="Arial" w:cs="Arial" w:eastAsia="Arial" w:hAnsi="Arial"/>
          <w:b/>
          <w:bCs/>
          <w:color w:val="1A2332"/>
          <w:sz w:val="26"/>
          <w:szCs w:val="26"/>
        </w:rPr>
        <w:t xml:space="preserve">EERA &amp; Mandatory Bargaining</w:t>
      </w:r>
    </w:p>
    <w:p>
      <w:pPr>
        <w:spacing w:after="160"/>
      </w:pPr>
      <w:r>
        <w:rPr>
          <w:rFonts w:ascii="Arial" w:cs="Arial" w:eastAsia="Arial" w:hAnsi="Arial"/>
          <w:sz w:val="22"/>
          <w:szCs w:val="22"/>
        </w:rPr>
        <w:t xml:space="preserve">Under the Educational Employment Relations Act (Gov. Code §3540–3549.3), wages and extra-duty pay are within the mandatory scope of representation (§3543.2). The district is prohibited from unilaterally altering the Saturday School instructional rate. Any change must be negotiated through the collective bargaining process with the exclusive representative. The Public Employment Relations Board (PERB) has consistently held that unilateral changes to established pay formulas constitute unfair labor practices (see Morgan Hill USD, PERB Decision No. 554; Calexico USD, PERB Decision No. 357).</w:t>
      </w:r>
    </w:p>
    <w:p>
      <w:pPr>
        <w:pStyle w:val="Heading2"/>
        <w:spacing w:before="240" w:after="160"/>
      </w:pPr>
      <w:r>
        <w:rPr>
          <w:rFonts w:ascii="Arial" w:cs="Arial" w:eastAsia="Arial" w:hAnsi="Arial"/>
          <w:b/>
          <w:bCs/>
          <w:color w:val="1A2332"/>
          <w:sz w:val="26"/>
          <w:szCs w:val="26"/>
        </w:rPr>
        <w:t xml:space="preserve">Negotiation Window</w:t>
      </w:r>
    </w:p>
    <w:p>
      <w:pPr>
        <w:spacing w:after="160"/>
      </w:pPr>
      <w:r>
        <w:rPr>
          <w:rFonts w:ascii="Arial" w:cs="Arial" w:eastAsia="Arial" w:hAnsi="Arial"/>
          <w:sz w:val="22"/>
          <w:szCs w:val="22"/>
        </w:rPr>
        <w:t xml:space="preserve">The Rodda Act requires that CBA terms be reviewed at least every three years. SAUSD’s next scheduled bargaining cycle opens in September/October 2026. This is the appropriate window to propose the rate change. The district should prepare its initial proposal for sunshine (public meeting) requirements under EERA, which mandate that both parties release initial bargaining proposals publicly before formal negotiations begin.</w:t>
      </w:r>
    </w:p>
    <w:p>
      <w:pPr>
        <w:pStyle w:val="Heading2"/>
        <w:spacing w:before="240" w:after="160"/>
      </w:pPr>
      <w:r>
        <w:rPr>
          <w:rFonts w:ascii="Arial" w:cs="Arial" w:eastAsia="Arial" w:hAnsi="Arial"/>
          <w:b/>
          <w:bCs/>
          <w:color w:val="1A2332"/>
          <w:sz w:val="26"/>
          <w:szCs w:val="26"/>
        </w:rPr>
        <w:t xml:space="preserve">SB 153/176 as Basis for Change</w:t>
      </w:r>
    </w:p>
    <w:p>
      <w:pPr>
        <w:spacing w:after="160"/>
      </w:pPr>
      <w:r>
        <w:rPr>
          <w:rFonts w:ascii="Arial" w:cs="Arial" w:eastAsia="Arial" w:hAnsi="Arial"/>
          <w:sz w:val="22"/>
          <w:szCs w:val="22"/>
        </w:rPr>
        <w:t xml:space="preserve">The strongest argument for renegotiation is that the state created an entirely new program after the current rate was negotiated. EC §46210–46211 establishes Attendance Recovery as a distinct statutory framework with specific compliance requirements. The current extra-duty rate predates this statute and was not designed to support a program with this economic structure. This is not a request to reduce teacher pay — it is a request to align the CBA with a new state program that benefits both the district (through recovered ADA funding) and students (through additional instructional access).</w:t>
      </w:r>
    </w:p>
    <w:p>
      <w:pPr>
        <w:pStyle w:val="Heading2"/>
        <w:spacing w:before="240" w:after="160"/>
      </w:pPr>
      <w:r>
        <w:rPr>
          <w:rFonts w:ascii="Arial" w:cs="Arial" w:eastAsia="Arial" w:hAnsi="Arial"/>
          <w:b/>
          <w:bCs/>
          <w:color w:val="1A2332"/>
          <w:sz w:val="26"/>
          <w:szCs w:val="26"/>
        </w:rPr>
        <w:t xml:space="preserve">Comparable District Practice</w:t>
      </w:r>
    </w:p>
    <w:p>
      <w:pPr>
        <w:spacing w:after="160"/>
      </w:pPr>
      <w:r>
        <w:rPr>
          <w:rFonts w:ascii="Arial" w:cs="Arial" w:eastAsia="Arial" w:hAnsi="Arial"/>
          <w:sz w:val="22"/>
          <w:szCs w:val="22"/>
        </w:rPr>
        <w:t xml:space="preserve">Multiple California school districts use flat rates in the range of $45–$55/hour for Saturday and weekend instructional assignments. A flat rate of $50/hour is within the range of established practice and represents a reasonable, comparable benchmark. Specific comparable rates should be documented prior to the negotiation cycle.</w:t>
      </w:r>
    </w:p>
    <w:p>
      <w:r>
        <w:br w:type="page"/>
      </w:r>
    </w:p>
    <w:p>
      <w:pPr>
        <w:pStyle w:val="Heading1"/>
        <w:spacing w:before="360" w:after="160"/>
      </w:pPr>
      <w:r>
        <w:rPr>
          <w:rFonts w:ascii="Arial" w:cs="Arial" w:eastAsia="Arial" w:hAnsi="Arial"/>
          <w:b/>
          <w:bCs/>
          <w:color w:val="1A2332"/>
          <w:sz w:val="32"/>
          <w:szCs w:val="32"/>
        </w:rPr>
        <w:t xml:space="preserve">5. Recommended Next Steps</w:t>
      </w:r>
    </w:p>
    <w:p>
      <w:pPr>
        <w:pStyle w:val="ListParagraph"/>
        <w:numPr>
          <w:ilvl w:val="0"/>
          <w:numId w:val="3"/>
        </w:numPr>
        <w:spacing w:after="120"/>
      </w:pPr>
      <w:r>
        <w:rPr>
          <w:rFonts w:ascii="Arial" w:cs="Arial" w:eastAsia="Arial" w:hAnsi="Arial"/>
          <w:b/>
          <w:bCs/>
          <w:sz w:val="22"/>
          <w:szCs w:val="22"/>
        </w:rPr>
        <w:t xml:space="preserve">Validate financial assumptions. </w:t>
      </w:r>
      <w:r>
        <w:rPr>
          <w:rFonts w:ascii="Arial" w:cs="Arial" w:eastAsia="Arial" w:hAnsi="Arial"/>
          <w:sz w:val="22"/>
          <w:szCs w:val="22"/>
        </w:rPr>
        <w:t xml:space="preserve">Confirm the per-day ADA value with district finance. Obtain the actual teacher roster by step/column from 2024–25 Saturday School participation. Get itemized overhead costs (nutrition services OT, custodial, security, LVN/RN, special education) per site per Saturday.</w:t>
      </w:r>
    </w:p>
    <w:p>
      <w:pPr>
        <w:pStyle w:val="ListParagraph"/>
        <w:numPr>
          <w:ilvl w:val="0"/>
          <w:numId w:val="3"/>
        </w:numPr>
        <w:spacing w:after="120"/>
      </w:pPr>
      <w:r>
        <w:rPr>
          <w:rFonts w:ascii="Arial" w:cs="Arial" w:eastAsia="Arial" w:hAnsi="Arial"/>
          <w:b/>
          <w:bCs/>
          <w:sz w:val="22"/>
          <w:szCs w:val="22"/>
        </w:rPr>
        <w:t xml:space="preserve">Run actual-data scenarios. </w:t>
      </w:r>
      <w:r>
        <w:rPr>
          <w:rFonts w:ascii="Arial" w:cs="Arial" w:eastAsia="Arial" w:hAnsi="Arial"/>
          <w:sz w:val="22"/>
          <w:szCs w:val="22"/>
        </w:rPr>
        <w:t xml:space="preserve">Using the interactive ROI model (provided as a companion tool), input real teacher data, actual per-site attendance, and confirmed overhead to produce exact cost vs. recovery figures per site. This converts projections into grounded financial analysis.</w:t>
      </w:r>
    </w:p>
    <w:p>
      <w:pPr>
        <w:pStyle w:val="ListParagraph"/>
        <w:numPr>
          <w:ilvl w:val="0"/>
          <w:numId w:val="3"/>
        </w:numPr>
        <w:spacing w:after="120"/>
      </w:pPr>
      <w:r>
        <w:rPr>
          <w:rFonts w:ascii="Arial" w:cs="Arial" w:eastAsia="Arial" w:hAnsi="Arial"/>
          <w:b/>
          <w:bCs/>
          <w:sz w:val="22"/>
          <w:szCs w:val="22"/>
        </w:rPr>
        <w:t xml:space="preserve">Document comparable district rates. </w:t>
      </w:r>
      <w:r>
        <w:rPr>
          <w:rFonts w:ascii="Arial" w:cs="Arial" w:eastAsia="Arial" w:hAnsi="Arial"/>
          <w:sz w:val="22"/>
          <w:szCs w:val="22"/>
        </w:rPr>
        <w:t xml:space="preserve">Collect CBA language from 3–5 comparable California districts that use flat-rate Saturday instructional pay. This establishes that the proposed rate is within established practice.</w:t>
      </w:r>
    </w:p>
    <w:p>
      <w:pPr>
        <w:pStyle w:val="ListParagraph"/>
        <w:numPr>
          <w:ilvl w:val="0"/>
          <w:numId w:val="3"/>
        </w:numPr>
        <w:spacing w:after="120"/>
      </w:pPr>
      <w:r>
        <w:rPr>
          <w:rFonts w:ascii="Arial" w:cs="Arial" w:eastAsia="Arial" w:hAnsi="Arial"/>
          <w:b/>
          <w:bCs/>
          <w:sz w:val="22"/>
          <w:szCs w:val="22"/>
        </w:rPr>
        <w:t xml:space="preserve">Prepare initial sunshine proposal. </w:t>
      </w:r>
      <w:r>
        <w:rPr>
          <w:rFonts w:ascii="Arial" w:cs="Arial" w:eastAsia="Arial" w:hAnsi="Arial"/>
          <w:sz w:val="22"/>
          <w:szCs w:val="22"/>
        </w:rPr>
        <w:t xml:space="preserve">Draft the formal proposal for the Sep/Oct 2026 bargaining cycle. Under EERA, this must be presented at a public board meeting before formal negotiations begin.</w:t>
      </w:r>
    </w:p>
    <w:p>
      <w:pPr>
        <w:pStyle w:val="ListParagraph"/>
        <w:numPr>
          <w:ilvl w:val="0"/>
          <w:numId w:val="3"/>
        </w:numPr>
        <w:spacing w:after="120"/>
      </w:pPr>
      <w:r>
        <w:rPr>
          <w:rFonts w:ascii="Arial" w:cs="Arial" w:eastAsia="Arial" w:hAnsi="Arial"/>
          <w:b/>
          <w:bCs/>
          <w:sz w:val="22"/>
          <w:szCs w:val="22"/>
        </w:rPr>
        <w:t xml:space="preserve">Brief the board. </w:t>
      </w:r>
      <w:r>
        <w:rPr>
          <w:rFonts w:ascii="Arial" w:cs="Arial" w:eastAsia="Arial" w:hAnsi="Arial"/>
          <w:sz w:val="22"/>
          <w:szCs w:val="22"/>
        </w:rPr>
        <w:t xml:space="preserve">Present this analysis and the ROI model to the board in closed session to align on the negotiation strategy before sunshining the proposal.</w:t>
      </w:r>
    </w:p>
    <w:p>
      <w:pPr>
        <w:pStyle w:val="ListParagraph"/>
        <w:numPr>
          <w:ilvl w:val="0"/>
          <w:numId w:val="3"/>
        </w:numPr>
        <w:spacing w:after="200"/>
      </w:pPr>
      <w:r>
        <w:rPr>
          <w:rFonts w:ascii="Arial" w:cs="Arial" w:eastAsia="Arial" w:hAnsi="Arial"/>
          <w:b/>
          <w:bCs/>
          <w:sz w:val="22"/>
          <w:szCs w:val="22"/>
        </w:rPr>
        <w:t xml:space="preserve">Implement Attendly platform for 2026–27. </w:t>
      </w:r>
      <w:r>
        <w:rPr>
          <w:rFonts w:ascii="Arial" w:cs="Arial" w:eastAsia="Arial" w:hAnsi="Arial"/>
          <w:sz w:val="22"/>
          <w:szCs w:val="22"/>
        </w:rPr>
        <w:t xml:space="preserve">Deploy the Saturday School module (targeted August 2026 training, September go-live) to capture real-time attendance data, automate cost tracking, and generate ongoing ROI reporting — ensuring the district has continuous visibility into program economics regardless of the negotiation outcome.</w:t>
      </w:r>
    </w:p>
    <w:p>
      <w:pPr>
        <w:pBdr>
          <w:top w:val="single" w:color="1A2332" w:sz="2" w:space="12"/>
        </w:pBdr>
        <w:spacing w:before="600"/>
      </w:pPr>
      <w:r>
        <w:rPr>
          <w:rFonts w:ascii="Arial" w:cs="Arial" w:eastAsia="Arial" w:hAnsi="Arial"/>
          <w:b/>
          <w:bCs/>
          <w:color w:val="1A2332"/>
          <w:sz w:val="26"/>
          <w:szCs w:val="26"/>
        </w:rPr>
        <w:t xml:space="preserve">Appendices</w:t>
      </w:r>
    </w:p>
    <w:p>
      <w:pPr>
        <w:spacing w:after="160"/>
      </w:pPr>
      <w:r>
        <w:rPr>
          <w:rFonts w:ascii="Arial" w:cs="Arial" w:eastAsia="Arial" w:hAnsi="Arial"/>
          <w:i/>
          <w:iCs/>
          <w:sz w:val="22"/>
          <w:szCs w:val="22"/>
        </w:rPr>
        <w:t xml:space="preserve">The following companion materials are available as interactive tools:</w:t>
      </w:r>
    </w:p>
    <w:p>
      <w:pPr>
        <w:pStyle w:val="ListParagraph"/>
        <w:numPr>
          <w:ilvl w:val="0"/>
          <w:numId w:val="2"/>
        </w:numPr>
        <w:spacing w:after="80"/>
      </w:pPr>
      <w:r>
        <w:rPr>
          <w:rFonts w:ascii="Arial" w:cs="Arial" w:eastAsia="Arial" w:hAnsi="Arial"/>
          <w:sz w:val="22"/>
          <w:szCs w:val="22"/>
        </w:rPr>
        <w:t xml:space="preserve">Saturday School ROI Model — Interactive break-even calculator with full salary schedule heat map, adjustable scenario inputs, and cost waterfall analysis.</w:t>
      </w:r>
    </w:p>
    <w:p>
      <w:pPr>
        <w:pStyle w:val="ListParagraph"/>
        <w:numPr>
          <w:ilvl w:val="0"/>
          <w:numId w:val="2"/>
        </w:numPr>
        <w:spacing w:after="80"/>
      </w:pPr>
      <w:r>
        <w:rPr>
          <w:rFonts w:ascii="Arial" w:cs="Arial" w:eastAsia="Arial" w:hAnsi="Arial"/>
          <w:sz w:val="22"/>
          <w:szCs w:val="22"/>
        </w:rPr>
        <w:t xml:space="preserve">Saturday School Calendar Planner — Interactive scheduling tool with holiday flags, triple-time day warnings, and semester split tracking.</w:t>
      </w:r>
    </w:p>
    <w:p>
      <w:pPr>
        <w:pStyle w:val="ListParagraph"/>
        <w:numPr>
          <w:ilvl w:val="0"/>
          <w:numId w:val="2"/>
        </w:numPr>
        <w:spacing w:after="80"/>
      </w:pPr>
      <w:r>
        <w:rPr>
          <w:rFonts w:ascii="Arial" w:cs="Arial" w:eastAsia="Arial" w:hAnsi="Arial"/>
          <w:sz w:val="22"/>
          <w:szCs w:val="22"/>
        </w:rPr>
        <w:t xml:space="preserve">Saturday School Operational Workflow — 19-step process map showing current-state pain points and platform-automated solutions across all four phases of Saturday School operations.</w:t>
      </w:r>
    </w:p>
    <w:sectPr>
      <w:headerReference w:type="default" r:id="rId6"/>
      <w:footerReference w:type="default" r:id="rId7"/>
      <w:pgSz w:w="12240" w:h="15840"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8"/>
      </w:pBdr>
      <w:spacing w:before="120"/>
      <w:jc w:val="center"/>
    </w:pPr>
    <w:r>
      <w:rPr>
        <w:rFonts w:ascii="Arial" w:cs="Arial" w:eastAsia="Arial" w:hAnsi="Arial"/>
        <w:color w:val="6B7A8D"/>
        <w:sz w:val="16"/>
        <w:szCs w:val="16"/>
      </w:rPr>
      <w:t xml:space="preserve">Prepared by Attendly for Santa Ana USD Ed Services  |  Draft — February 2026  |  Page </w:t>
    </w:r>
    <w:r>
      <w:rPr>
        <w:rFonts w:ascii="Arial" w:cs="Arial" w:eastAsia="Arial" w:hAnsi="Arial"/>
        <w:color w:val="6B7A8D"/>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i/>
        <w:iCs/>
        <w:color w:val="C53030"/>
        <w:sz w:val="16"/>
        <w:szCs w:val="16"/>
      </w:rPr>
      <w:t xml:space="preserve">CONFIDENTIAL — PREPARED FOR BOARD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2332"/>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A2332"/>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2026-02-19T11:52:22.034Z</dcterms:created>
  <dcterms:modified xsi:type="dcterms:W3CDTF">2026-02-19T11:52:22.034Z</dcterms:modified>
</cp:coreProperties>
</file>

<file path=docProps/custom.xml><?xml version="1.0" encoding="utf-8"?>
<Properties xmlns="http://schemas.openxmlformats.org/officeDocument/2006/custom-properties" xmlns:vt="http://schemas.openxmlformats.org/officeDocument/2006/docPropsVTypes"/>
</file>